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4E6A" w:rsidRDefault="00174E6A" w:rsidP="00174E6A">
      <w:pPr>
        <w:pStyle w:val="a3"/>
      </w:pPr>
      <w:r>
        <w:rPr>
          <w:rStyle w:val="a4"/>
        </w:rPr>
        <w:t>Фармакологічні властивості:</w:t>
      </w:r>
    </w:p>
    <w:p w:rsidR="00174E6A" w:rsidRDefault="00174E6A" w:rsidP="00174E6A">
      <w:pPr>
        <w:pStyle w:val="a3"/>
      </w:pPr>
      <w:r>
        <w:t xml:space="preserve">ATC </w:t>
      </w:r>
      <w:proofErr w:type="spellStart"/>
      <w:r>
        <w:t>vet</w:t>
      </w:r>
      <w:proofErr w:type="spellEnd"/>
      <w:r>
        <w:t xml:space="preserve"> класифікаційний код QJ01 - антибактеріальні ветеринарні препарати для системного застосування. QJ01МА90 - </w:t>
      </w:r>
      <w:proofErr w:type="spellStart"/>
      <w:r>
        <w:t>Енрофлоксацин</w:t>
      </w:r>
      <w:proofErr w:type="spellEnd"/>
      <w:r>
        <w:t>.</w:t>
      </w:r>
    </w:p>
    <w:p w:rsidR="00174E6A" w:rsidRDefault="00174E6A" w:rsidP="00174E6A">
      <w:pPr>
        <w:pStyle w:val="a3"/>
      </w:pPr>
      <w:proofErr w:type="spellStart"/>
      <w:r>
        <w:t>Енрофлоксацин</w:t>
      </w:r>
      <w:proofErr w:type="spellEnd"/>
      <w:r>
        <w:t xml:space="preserve"> належить до </w:t>
      </w:r>
      <w:proofErr w:type="spellStart"/>
      <w:r>
        <w:t>антибiотикiв</w:t>
      </w:r>
      <w:proofErr w:type="spellEnd"/>
      <w:r>
        <w:t xml:space="preserve"> групи </w:t>
      </w:r>
      <w:proofErr w:type="spellStart"/>
      <w:r>
        <w:t>фторхiнолонiв</w:t>
      </w:r>
      <w:proofErr w:type="spellEnd"/>
      <w:r>
        <w:t xml:space="preserve">. Він ефективно діє проти більшості патогенних мікроорганізмів: </w:t>
      </w:r>
      <w:proofErr w:type="spellStart"/>
      <w:r>
        <w:t>Mycoplasma</w:t>
      </w:r>
      <w:proofErr w:type="spellEnd"/>
      <w:r>
        <w:t xml:space="preserve"> </w:t>
      </w:r>
      <w:proofErr w:type="spellStart"/>
      <w:r>
        <w:t>spp</w:t>
      </w:r>
      <w:proofErr w:type="spellEnd"/>
      <w:r>
        <w:t xml:space="preserve">., E. </w:t>
      </w:r>
      <w:proofErr w:type="spellStart"/>
      <w:r>
        <w:t>coli</w:t>
      </w:r>
      <w:proofErr w:type="spellEnd"/>
      <w:r>
        <w:t xml:space="preserve">, </w:t>
      </w:r>
      <w:proofErr w:type="spellStart"/>
      <w:r>
        <w:t>Salmonella</w:t>
      </w:r>
      <w:proofErr w:type="spellEnd"/>
      <w:r>
        <w:t xml:space="preserve"> </w:t>
      </w:r>
      <w:proofErr w:type="spellStart"/>
      <w:r>
        <w:t>spp</w:t>
      </w:r>
      <w:proofErr w:type="spellEnd"/>
      <w:r>
        <w:t xml:space="preserve">., </w:t>
      </w:r>
      <w:proofErr w:type="spellStart"/>
      <w:r>
        <w:t>Campylobacter</w:t>
      </w:r>
      <w:proofErr w:type="spellEnd"/>
      <w:r>
        <w:t xml:space="preserve"> </w:t>
      </w:r>
      <w:proofErr w:type="spellStart"/>
      <w:r>
        <w:t>spp</w:t>
      </w:r>
      <w:proofErr w:type="spellEnd"/>
      <w:r>
        <w:t xml:space="preserve">., </w:t>
      </w:r>
      <w:proofErr w:type="spellStart"/>
      <w:r>
        <w:t>Haemophilus</w:t>
      </w:r>
      <w:proofErr w:type="spellEnd"/>
      <w:r>
        <w:t xml:space="preserve"> </w:t>
      </w:r>
      <w:proofErr w:type="spellStart"/>
      <w:r>
        <w:t>spp</w:t>
      </w:r>
      <w:proofErr w:type="spellEnd"/>
      <w:r>
        <w:t xml:space="preserve">., </w:t>
      </w:r>
      <w:proofErr w:type="spellStart"/>
      <w:r>
        <w:t>Pasteurella</w:t>
      </w:r>
      <w:proofErr w:type="spellEnd"/>
      <w:r>
        <w:t xml:space="preserve"> </w:t>
      </w:r>
      <w:proofErr w:type="spellStart"/>
      <w:r>
        <w:t>spp</w:t>
      </w:r>
      <w:proofErr w:type="spellEnd"/>
      <w:r>
        <w:t xml:space="preserve">., </w:t>
      </w:r>
      <w:proofErr w:type="spellStart"/>
      <w:r>
        <w:t>Bordetella</w:t>
      </w:r>
      <w:proofErr w:type="spellEnd"/>
      <w:r>
        <w:t xml:space="preserve"> </w:t>
      </w:r>
      <w:proofErr w:type="spellStart"/>
      <w:r>
        <w:t>spp</w:t>
      </w:r>
      <w:proofErr w:type="spellEnd"/>
      <w:r>
        <w:t xml:space="preserve">., </w:t>
      </w:r>
      <w:proofErr w:type="spellStart"/>
      <w:r>
        <w:t>Erysipelothrix</w:t>
      </w:r>
      <w:proofErr w:type="spellEnd"/>
      <w:r>
        <w:t xml:space="preserve"> </w:t>
      </w:r>
      <w:proofErr w:type="spellStart"/>
      <w:r>
        <w:t>rhusiopathiae</w:t>
      </w:r>
      <w:proofErr w:type="spellEnd"/>
      <w:r>
        <w:t xml:space="preserve">, </w:t>
      </w:r>
      <w:proofErr w:type="spellStart"/>
      <w:r>
        <w:t>Klebsiella</w:t>
      </w:r>
      <w:proofErr w:type="spellEnd"/>
      <w:r>
        <w:t xml:space="preserve"> </w:t>
      </w:r>
      <w:proofErr w:type="spellStart"/>
      <w:r>
        <w:t>spp</w:t>
      </w:r>
      <w:proofErr w:type="spellEnd"/>
      <w:r>
        <w:t xml:space="preserve">., </w:t>
      </w:r>
      <w:proofErr w:type="spellStart"/>
      <w:r>
        <w:t>Proteus</w:t>
      </w:r>
      <w:proofErr w:type="spellEnd"/>
      <w:r>
        <w:t xml:space="preserve"> </w:t>
      </w:r>
      <w:proofErr w:type="spellStart"/>
      <w:r>
        <w:t>spp</w:t>
      </w:r>
      <w:proofErr w:type="spellEnd"/>
      <w:r>
        <w:t xml:space="preserve">., </w:t>
      </w:r>
      <w:proofErr w:type="spellStart"/>
      <w:r>
        <w:t>Vibrio</w:t>
      </w:r>
      <w:proofErr w:type="spellEnd"/>
      <w:r>
        <w:t xml:space="preserve"> </w:t>
      </w:r>
      <w:proofErr w:type="spellStart"/>
      <w:r>
        <w:t>parahaemolyticus</w:t>
      </w:r>
      <w:proofErr w:type="spellEnd"/>
      <w:r>
        <w:t xml:space="preserve">, </w:t>
      </w:r>
      <w:proofErr w:type="spellStart"/>
      <w:r>
        <w:t>Staphylococcus</w:t>
      </w:r>
      <w:proofErr w:type="spellEnd"/>
      <w:r>
        <w:t xml:space="preserve"> </w:t>
      </w:r>
      <w:proofErr w:type="spellStart"/>
      <w:r>
        <w:t>aureus</w:t>
      </w:r>
      <w:proofErr w:type="spellEnd"/>
      <w:r>
        <w:t xml:space="preserve">, </w:t>
      </w:r>
      <w:proofErr w:type="spellStart"/>
      <w:r>
        <w:t>Streptococcus</w:t>
      </w:r>
      <w:proofErr w:type="spellEnd"/>
      <w:r>
        <w:t xml:space="preserve"> </w:t>
      </w:r>
      <w:proofErr w:type="spellStart"/>
      <w:r>
        <w:t>spp</w:t>
      </w:r>
      <w:proofErr w:type="spellEnd"/>
      <w:r>
        <w:t xml:space="preserve">., </w:t>
      </w:r>
      <w:proofErr w:type="spellStart"/>
      <w:r>
        <w:t>Clostridium</w:t>
      </w:r>
      <w:proofErr w:type="spellEnd"/>
      <w:r>
        <w:t xml:space="preserve"> </w:t>
      </w:r>
      <w:proofErr w:type="spellStart"/>
      <w:r>
        <w:t>perfringens</w:t>
      </w:r>
      <w:proofErr w:type="spellEnd"/>
      <w:r>
        <w:t xml:space="preserve">, </w:t>
      </w:r>
      <w:proofErr w:type="spellStart"/>
      <w:r>
        <w:t>Actinobacillus</w:t>
      </w:r>
      <w:proofErr w:type="spellEnd"/>
      <w:r>
        <w:t xml:space="preserve"> </w:t>
      </w:r>
      <w:proofErr w:type="spellStart"/>
      <w:r>
        <w:t>spp</w:t>
      </w:r>
      <w:proofErr w:type="spellEnd"/>
      <w:r>
        <w:t xml:space="preserve">. і ентерококів. </w:t>
      </w:r>
      <w:proofErr w:type="spellStart"/>
      <w:r>
        <w:t>Енрофлоксацин</w:t>
      </w:r>
      <w:proofErr w:type="spellEnd"/>
      <w:r>
        <w:t xml:space="preserve"> проявляє протимікробну дію шляхом гальмування активності ферменту ДНК-</w:t>
      </w:r>
      <w:proofErr w:type="spellStart"/>
      <w:r>
        <w:t>гірази</w:t>
      </w:r>
      <w:proofErr w:type="spellEnd"/>
      <w:r>
        <w:t>, який є каталізатором реплікації ДНК у бактеріальній клітині. Гальмування активності ДНК-</w:t>
      </w:r>
      <w:proofErr w:type="spellStart"/>
      <w:r>
        <w:t>гірази</w:t>
      </w:r>
      <w:proofErr w:type="spellEnd"/>
      <w:r>
        <w:t xml:space="preserve"> призводить до функціональних розладів, блокування біосинтезу у клітині та загибелі патогенного мікроорганізму. Чинить бактерицидну дію, особливо по відношенню до мікроорганізмів, резистентних до бета-</w:t>
      </w:r>
      <w:proofErr w:type="spellStart"/>
      <w:r>
        <w:t>лактамних</w:t>
      </w:r>
      <w:proofErr w:type="spellEnd"/>
      <w:r>
        <w:t xml:space="preserve"> антибіотиків, </w:t>
      </w:r>
      <w:proofErr w:type="spellStart"/>
      <w:r>
        <w:t>тетрациклінів</w:t>
      </w:r>
      <w:proofErr w:type="spellEnd"/>
      <w:r>
        <w:t xml:space="preserve">, </w:t>
      </w:r>
      <w:proofErr w:type="spellStart"/>
      <w:r>
        <w:t>аміноглікозидів</w:t>
      </w:r>
      <w:proofErr w:type="spellEnd"/>
      <w:r>
        <w:t xml:space="preserve"> і </w:t>
      </w:r>
      <w:proofErr w:type="spellStart"/>
      <w:r>
        <w:t>макролідів</w:t>
      </w:r>
      <w:proofErr w:type="spellEnd"/>
      <w:r>
        <w:t>.</w:t>
      </w:r>
    </w:p>
    <w:p w:rsidR="00174E6A" w:rsidRDefault="00174E6A" w:rsidP="00174E6A">
      <w:pPr>
        <w:pStyle w:val="a3"/>
      </w:pPr>
      <w:r>
        <w:t xml:space="preserve">У дослідженнях на собаках при застосуванні дози </w:t>
      </w:r>
      <w:proofErr w:type="spellStart"/>
      <w:r>
        <w:t>енрофлоксацину</w:t>
      </w:r>
      <w:proofErr w:type="spellEnd"/>
      <w:r>
        <w:t xml:space="preserve"> 4,91 мг/кг маси тіла максимальна концентрація препарату в плазмі 1179,94±260,83 </w:t>
      </w:r>
      <w:proofErr w:type="spellStart"/>
      <w:r>
        <w:t>нг</w:t>
      </w:r>
      <w:proofErr w:type="spellEnd"/>
      <w:r>
        <w:t xml:space="preserve">/мл досягалася реєструвалась через 1,57±0,62 год. Період </w:t>
      </w:r>
      <w:proofErr w:type="spellStart"/>
      <w:r>
        <w:t>напіввиведення</w:t>
      </w:r>
      <w:proofErr w:type="spellEnd"/>
      <w:r>
        <w:t xml:space="preserve"> становить 3,78 год.</w:t>
      </w:r>
    </w:p>
    <w:p w:rsidR="00174E6A" w:rsidRDefault="00174E6A" w:rsidP="00174E6A">
      <w:pPr>
        <w:pStyle w:val="a3"/>
      </w:pPr>
      <w:r>
        <w:t xml:space="preserve">Майже 40% </w:t>
      </w:r>
      <w:proofErr w:type="spellStart"/>
      <w:r>
        <w:t>енрофлоксацину</w:t>
      </w:r>
      <w:proofErr w:type="spellEnd"/>
      <w:r>
        <w:t xml:space="preserve">, введеного  собакам </w:t>
      </w:r>
      <w:proofErr w:type="spellStart"/>
      <w:r>
        <w:t>перорально</w:t>
      </w:r>
      <w:proofErr w:type="spellEnd"/>
      <w:r>
        <w:t xml:space="preserve">, перетворюється у </w:t>
      </w:r>
      <w:proofErr w:type="spellStart"/>
      <w:r>
        <w:t>ципрофлоксацин</w:t>
      </w:r>
      <w:proofErr w:type="spellEnd"/>
      <w:r>
        <w:t xml:space="preserve">. Максимальна концентрація </w:t>
      </w:r>
      <w:proofErr w:type="spellStart"/>
      <w:r>
        <w:t>ципрофлоксацину</w:t>
      </w:r>
      <w:proofErr w:type="spellEnd"/>
      <w:r>
        <w:t xml:space="preserve"> у плазмі сягає 491,99±57,95 </w:t>
      </w:r>
      <w:proofErr w:type="spellStart"/>
      <w:r>
        <w:t>нг</w:t>
      </w:r>
      <w:proofErr w:type="spellEnd"/>
      <w:r>
        <w:t xml:space="preserve">/мг. </w:t>
      </w:r>
      <w:proofErr w:type="spellStart"/>
      <w:r>
        <w:t>Tmax</w:t>
      </w:r>
      <w:proofErr w:type="spellEnd"/>
      <w:r>
        <w:t xml:space="preserve"> становить 1,79±2,6 год. Період </w:t>
      </w:r>
      <w:proofErr w:type="spellStart"/>
      <w:r>
        <w:t>напіввиведення</w:t>
      </w:r>
      <w:proofErr w:type="spellEnd"/>
      <w:r>
        <w:t xml:space="preserve"> становить 5,10 год. Максимальна концентрація </w:t>
      </w:r>
      <w:proofErr w:type="spellStart"/>
      <w:r>
        <w:t>ципрофлоксацину</w:t>
      </w:r>
      <w:proofErr w:type="spellEnd"/>
      <w:r>
        <w:t xml:space="preserve"> у плазмі котів сягає  173,18±34,08 </w:t>
      </w:r>
      <w:proofErr w:type="spellStart"/>
      <w:r>
        <w:t>нг</w:t>
      </w:r>
      <w:proofErr w:type="spellEnd"/>
      <w:r>
        <w:t xml:space="preserve">/мг. </w:t>
      </w:r>
      <w:proofErr w:type="spellStart"/>
      <w:r>
        <w:t>Tmax</w:t>
      </w:r>
      <w:proofErr w:type="spellEnd"/>
      <w:r>
        <w:t xml:space="preserve"> становить 2,42±0,89 год. Кінцевий період </w:t>
      </w:r>
      <w:proofErr w:type="spellStart"/>
      <w:r>
        <w:t>напіввиведення</w:t>
      </w:r>
      <w:proofErr w:type="spellEnd"/>
      <w:r>
        <w:t xml:space="preserve"> становить 4,88 год.</w:t>
      </w:r>
    </w:p>
    <w:p w:rsidR="00174E6A" w:rsidRDefault="00174E6A" w:rsidP="00174E6A">
      <w:pPr>
        <w:pStyle w:val="a3"/>
      </w:pPr>
      <w:proofErr w:type="spellStart"/>
      <w:r>
        <w:t>Енрофлоксацин</w:t>
      </w:r>
      <w:proofErr w:type="spellEnd"/>
      <w:r>
        <w:t xml:space="preserve"> швидко надходить у тканини. Концентрація у тканинах і рідинах тканин у 2-3 рази перевищує концентрацію у сироватці крові. Високі рівні </w:t>
      </w:r>
      <w:proofErr w:type="spellStart"/>
      <w:r>
        <w:t>енрофлоксацину</w:t>
      </w:r>
      <w:proofErr w:type="spellEnd"/>
      <w:r>
        <w:t xml:space="preserve"> відмічаються в легенях, печінці, нирках, шкірі, кістках та лімфатичній системі. </w:t>
      </w:r>
      <w:proofErr w:type="spellStart"/>
      <w:r>
        <w:t>Енрофлоксацин</w:t>
      </w:r>
      <w:proofErr w:type="spellEnd"/>
      <w:r>
        <w:t xml:space="preserve"> також надходить у цереброспінальну рідину, </w:t>
      </w:r>
      <w:proofErr w:type="spellStart"/>
      <w:r>
        <w:t>внутрішньоочну</w:t>
      </w:r>
      <w:proofErr w:type="spellEnd"/>
      <w:r>
        <w:t xml:space="preserve"> рідину та у плід вагітних тварин.</w:t>
      </w:r>
    </w:p>
    <w:p w:rsidR="00174E6A" w:rsidRDefault="00174E6A" w:rsidP="00174E6A">
      <w:pPr>
        <w:pStyle w:val="a3"/>
      </w:pPr>
      <w:proofErr w:type="spellStart"/>
      <w:r>
        <w:t>Енрофлоксацин</w:t>
      </w:r>
      <w:proofErr w:type="spellEnd"/>
      <w:r>
        <w:t xml:space="preserve"> виводиться з організму, головним чином, разом із сечею.</w:t>
      </w:r>
    </w:p>
    <w:p w:rsidR="00174E6A" w:rsidRDefault="00174E6A">
      <w:bookmarkStart w:id="0" w:name="_GoBack"/>
      <w:bookmarkEnd w:id="0"/>
    </w:p>
    <w:sectPr w:rsidR="00174E6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E6A"/>
    <w:rsid w:val="00174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D274FE-221A-4BB7-8839-689B84E65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74E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174E6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1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1336</Words>
  <Characters>763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Ништа Анна</dc:creator>
  <cp:keywords/>
  <dc:description/>
  <cp:lastModifiedBy>Ништа Анна</cp:lastModifiedBy>
  <cp:revision>1</cp:revision>
  <dcterms:created xsi:type="dcterms:W3CDTF">2024-12-18T06:23:00Z</dcterms:created>
  <dcterms:modified xsi:type="dcterms:W3CDTF">2024-12-18T06:25:00Z</dcterms:modified>
</cp:coreProperties>
</file>